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3014" w:rsidRDefault="00753014" w:rsidP="00753014">
      <w:pPr>
        <w:jc w:val="center"/>
        <w:rPr>
          <w:rFonts w:ascii="Times New Roman" w:hAnsi="Times New Roman"/>
          <w:b/>
          <w:bCs/>
          <w:lang w:val="sr-Cyrl-CS"/>
        </w:rPr>
      </w:pPr>
    </w:p>
    <w:p w:rsidR="00753014" w:rsidRPr="00085D06" w:rsidRDefault="00753014" w:rsidP="00753014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  <w:r>
        <w:rPr>
          <w:rFonts w:ascii="Times New Roman" w:hAnsi="Times New Roman"/>
          <w:bCs/>
          <w:lang w:val="sr-Cyrl-CS"/>
        </w:rPr>
        <w:t xml:space="preserve"> </w:t>
      </w:r>
    </w:p>
    <w:p w:rsidR="00753014" w:rsidRPr="00A756DE" w:rsidRDefault="00753014" w:rsidP="00753014">
      <w:pPr>
        <w:jc w:val="center"/>
        <w:rPr>
          <w:rFonts w:ascii="Times New Roman" w:hAnsi="Times New Roman"/>
          <w:bCs/>
          <w:lang w:val="ru-RU"/>
        </w:rPr>
      </w:pPr>
      <w:r w:rsidRPr="00092214">
        <w:rPr>
          <w:rFonts w:ascii="Times New Roman" w:hAnsi="Times New Roman"/>
          <w:bCs/>
          <w:lang w:val="sr-Cyrl-CS"/>
        </w:rPr>
        <w:t xml:space="preserve">Спецификацију треба дати за сваки предмет из студијског програма.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49"/>
        <w:gridCol w:w="1910"/>
        <w:gridCol w:w="1131"/>
        <w:gridCol w:w="1972"/>
        <w:gridCol w:w="1225"/>
      </w:tblGrid>
      <w:tr w:rsidR="00753014" w:rsidRPr="00ED2B2E" w:rsidTr="00ED2B2E">
        <w:trPr>
          <w:trHeight w:val="227"/>
          <w:jc w:val="center"/>
        </w:trPr>
        <w:tc>
          <w:tcPr>
            <w:tcW w:w="9287" w:type="dxa"/>
            <w:gridSpan w:val="5"/>
            <w:vAlign w:val="center"/>
          </w:tcPr>
          <w:p w:rsidR="00753014" w:rsidRPr="00ED2B2E" w:rsidRDefault="00D1722F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 w:rsidR="00753014"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6957A3" w:rsidRPr="00ED2B2E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 xml:space="preserve"> Процена безбедносних ризика</w:t>
            </w:r>
          </w:p>
        </w:tc>
      </w:tr>
      <w:tr w:rsidR="00753014" w:rsidRPr="00ED2B2E" w:rsidTr="00ED2B2E">
        <w:trPr>
          <w:trHeight w:val="227"/>
          <w:jc w:val="center"/>
        </w:trPr>
        <w:tc>
          <w:tcPr>
            <w:tcW w:w="9287" w:type="dxa"/>
            <w:gridSpan w:val="5"/>
            <w:vAlign w:val="center"/>
          </w:tcPr>
          <w:p w:rsidR="00753014" w:rsidRPr="00092214" w:rsidRDefault="00753014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6957A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Право и корпоративна безбедност</w:t>
            </w:r>
          </w:p>
        </w:tc>
      </w:tr>
      <w:tr w:rsidR="00753014" w:rsidRPr="00ED2B2E" w:rsidTr="00ED2B2E">
        <w:trPr>
          <w:trHeight w:val="227"/>
          <w:jc w:val="center"/>
        </w:trPr>
        <w:tc>
          <w:tcPr>
            <w:tcW w:w="9287" w:type="dxa"/>
            <w:gridSpan w:val="5"/>
            <w:vAlign w:val="center"/>
          </w:tcPr>
          <w:p w:rsidR="00753014" w:rsidRPr="00092214" w:rsidRDefault="00753014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ED2B2E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/наставници</w:t>
            </w: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6957A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Младен Милошевић, Божидар Бановић, Жељко Бркић</w:t>
            </w:r>
          </w:p>
        </w:tc>
      </w:tr>
      <w:tr w:rsidR="00753014" w:rsidRPr="00092214" w:rsidTr="00ED2B2E">
        <w:trPr>
          <w:trHeight w:val="227"/>
          <w:jc w:val="center"/>
        </w:trPr>
        <w:tc>
          <w:tcPr>
            <w:tcW w:w="9287" w:type="dxa"/>
            <w:gridSpan w:val="5"/>
            <w:vAlign w:val="center"/>
          </w:tcPr>
          <w:p w:rsidR="00753014" w:rsidRPr="00092214" w:rsidRDefault="00753014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6957A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Обавезни</w:t>
            </w:r>
          </w:p>
        </w:tc>
      </w:tr>
      <w:tr w:rsidR="00753014" w:rsidRPr="00092214" w:rsidTr="00ED2B2E">
        <w:trPr>
          <w:trHeight w:val="227"/>
          <w:jc w:val="center"/>
        </w:trPr>
        <w:tc>
          <w:tcPr>
            <w:tcW w:w="9287" w:type="dxa"/>
            <w:gridSpan w:val="5"/>
            <w:vAlign w:val="center"/>
          </w:tcPr>
          <w:p w:rsidR="00753014" w:rsidRPr="00092214" w:rsidRDefault="00753014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6957A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7</w:t>
            </w:r>
          </w:p>
        </w:tc>
      </w:tr>
      <w:tr w:rsidR="00753014" w:rsidRPr="00092214" w:rsidTr="00ED2B2E">
        <w:trPr>
          <w:trHeight w:val="227"/>
          <w:jc w:val="center"/>
        </w:trPr>
        <w:tc>
          <w:tcPr>
            <w:tcW w:w="9287" w:type="dxa"/>
            <w:gridSpan w:val="5"/>
            <w:vAlign w:val="center"/>
          </w:tcPr>
          <w:p w:rsidR="00753014" w:rsidRPr="00092214" w:rsidRDefault="00753014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</w:p>
        </w:tc>
      </w:tr>
      <w:tr w:rsidR="00753014" w:rsidRPr="00ED2B2E" w:rsidTr="00ED2B2E">
        <w:trPr>
          <w:trHeight w:val="227"/>
          <w:jc w:val="center"/>
        </w:trPr>
        <w:tc>
          <w:tcPr>
            <w:tcW w:w="9287" w:type="dxa"/>
            <w:gridSpan w:val="5"/>
            <w:vAlign w:val="center"/>
          </w:tcPr>
          <w:p w:rsidR="00753014" w:rsidRPr="00092214" w:rsidRDefault="00753014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:rsidR="00753014" w:rsidRPr="00092214" w:rsidRDefault="006957A3" w:rsidP="00ED2B2E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D1722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Циљ предмета је да студенте упозна са законима,  подзаконским прописима, другим општим актима и међународним и домаћим  стандарима  који чине правни оквир корпоративне безбедности. </w:t>
            </w:r>
            <w:r w:rsidR="005011B9" w:rsidRPr="005011B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Студенти кроз програм треба да: стекну основна теоријска знања  о правној димензији </w:t>
            </w:r>
            <w:r w:rsidR="005011B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корпоративне</w:t>
            </w:r>
            <w:r w:rsidR="005011B9" w:rsidRPr="005011B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безбедности и њеном месту у систему националне безбедности; детаљно упознају домаћу законску регулативу; разумеју предности и недостатке постојећих законских решења и проблеме у њиховој примени</w:t>
            </w:r>
            <w:r w:rsidR="005011B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; упознају и разумеју </w:t>
            </w:r>
            <w:r w:rsidR="005011B9" w:rsidRPr="005011B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генезу и</w:t>
            </w:r>
            <w:r w:rsidR="005011B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н</w:t>
            </w:r>
            <w:r w:rsidR="005011B9" w:rsidRPr="005011B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дустрије приватне безбедности у Србији и региону као и глобалне трендове њеног развоја</w:t>
            </w:r>
            <w:r w:rsidR="000B65E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и разумеју концепт управљања правним ризицима</w:t>
            </w:r>
            <w:r w:rsidR="005011B9" w:rsidRPr="005011B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</w:t>
            </w:r>
            <w:r w:rsidRPr="00D1722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План студијског курса је осмишљен тако да студенте припреми за самостално тумачење релеван</w:t>
            </w:r>
            <w:r w:rsidR="002469A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т</w:t>
            </w:r>
            <w:r w:rsidRPr="00D1722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них правних норми и њихову правилну примену у корпоративном окружењу. Осим представљања и анализе правне регулативе, циљ програма је и повезивање знања и вештина правне и безбедносне струке, тако да се савладавањем градива р</w:t>
            </w:r>
            <w:r w:rsidR="00D1722F" w:rsidRPr="00D1722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азвија и с</w:t>
            </w:r>
            <w:r w:rsidR="00D1722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</w:t>
            </w:r>
            <w:r w:rsidR="00D1722F" w:rsidRPr="00D1722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оссобност коришћења законских механизама за потребе унапређења к</w:t>
            </w:r>
            <w:r w:rsidR="00D1722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</w:t>
            </w:r>
            <w:r w:rsidR="00D1722F" w:rsidRPr="00D1722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ропративне безбедности</w:t>
            </w:r>
            <w:r w:rsidR="000B65E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и идентификацију, анализу и оцену правних ризика у корпорацији</w:t>
            </w:r>
            <w:r w:rsidR="00D1722F" w:rsidRPr="00D1722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D1722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</w:t>
            </w:r>
          </w:p>
        </w:tc>
      </w:tr>
      <w:tr w:rsidR="00753014" w:rsidRPr="00ED2B2E" w:rsidTr="00ED2B2E">
        <w:trPr>
          <w:trHeight w:val="227"/>
          <w:jc w:val="center"/>
        </w:trPr>
        <w:tc>
          <w:tcPr>
            <w:tcW w:w="9287" w:type="dxa"/>
            <w:gridSpan w:val="5"/>
            <w:vAlign w:val="center"/>
          </w:tcPr>
          <w:p w:rsidR="00753014" w:rsidRPr="00092214" w:rsidRDefault="00753014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:rsidR="00753014" w:rsidRPr="00092214" w:rsidRDefault="005011B9" w:rsidP="00DE063A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011B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Исход изучавања предмета се огледа у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:</w:t>
            </w:r>
            <w:r w:rsidRPr="005011B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овладавању категоријално-појмовним апаратом у области 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корпоративне </w:t>
            </w:r>
            <w:r w:rsidRPr="005011B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безбедности;  упознавању студената са прописима који непосредно регулишу систем националне безбедности и 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корпоративну </w:t>
            </w:r>
            <w:r w:rsidRPr="005011B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безбеднос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т као њен сегмент; оспособљавању</w:t>
            </w:r>
            <w:r w:rsidRPr="005011B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студената за теоријско промишљ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ање и критичку анализу прописа и развијању</w:t>
            </w:r>
            <w:r w:rsidRPr="005011B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способности студената за самостално тумачење и анализу 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правних  норми</w:t>
            </w:r>
            <w:r w:rsidRPr="005011B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у области 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корпоративне безбедности</w:t>
            </w:r>
            <w:r w:rsidR="00D1722F" w:rsidRPr="00D1722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 Савладавањем овог студијског курса студенти ће стећи важна теоријска и практична знања и овладати вештином креирања унутрашње правне регулативе сходно утврђеним безбедносним изазовима, ризицима и претњама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, </w:t>
            </w:r>
            <w:r w:rsidR="00D1722F" w:rsidRPr="00D1722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а у складу са захтевима закона и других важећих прописа и стандарда. </w:t>
            </w:r>
            <w:r w:rsidR="000B65E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Студенти упознају, разумеју и самостално примењују принципе, методе и технике процене и редукције правних ризика.</w:t>
            </w:r>
          </w:p>
        </w:tc>
      </w:tr>
      <w:tr w:rsidR="00753014" w:rsidRPr="00ED2B2E" w:rsidTr="00ED2B2E">
        <w:trPr>
          <w:trHeight w:val="227"/>
          <w:jc w:val="center"/>
        </w:trPr>
        <w:tc>
          <w:tcPr>
            <w:tcW w:w="9287" w:type="dxa"/>
            <w:gridSpan w:val="5"/>
            <w:vAlign w:val="center"/>
          </w:tcPr>
          <w:p w:rsidR="00753014" w:rsidRPr="00092214" w:rsidRDefault="00753014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753014" w:rsidRPr="00092214" w:rsidRDefault="00753014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:rsidR="00753014" w:rsidRPr="00155C14" w:rsidRDefault="007454AB" w:rsidP="00155C14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/>
              </w:rPr>
            </w:pPr>
            <w:r w:rsidRPr="007454AB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 xml:space="preserve">Појам система националне безбедности и његово правно уређење. Појам </w:t>
            </w:r>
            <w:r w:rsidR="000B65EF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>корпоративне</w:t>
            </w:r>
            <w:r w:rsidRPr="007454AB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 xml:space="preserve"> безбедности и различита теоријска одређења њеног места и улоге у систему националне безбедности. Однос </w:t>
            </w:r>
            <w:r w:rsidR="000B65EF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>корпоративне</w:t>
            </w:r>
            <w:r w:rsidRPr="007454AB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 xml:space="preserve"> безбедности и сродних феномена и терминолошке недоумице. Појмовно одређење приватног обезбеђења, детективске делатности и корпоративне безбедности. Историјски развој индустрије приватне безбедности. Генеза </w:t>
            </w:r>
            <w:r w:rsidR="000B65EF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>корпоративне</w:t>
            </w:r>
            <w:r w:rsidRPr="007454AB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 xml:space="preserve"> безбедности у Србији и региону Западног Балкана. Најважнији изв</w:t>
            </w:r>
            <w:r w:rsidR="000B65EF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 xml:space="preserve">ори права у областима </w:t>
            </w:r>
            <w:r w:rsidRPr="007454AB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 xml:space="preserve">корпоративне безбедности. Основни правни институти у области </w:t>
            </w:r>
            <w:r w:rsidR="000B65EF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 xml:space="preserve">корпоративне безбедности. Појам правних ризика. Врсте правних ризика. Стратегије поступања са правним ризицима. процена правних ризика – идентификација, анализа и оцена. </w:t>
            </w:r>
            <w:r w:rsidRPr="007454AB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 xml:space="preserve">Законски систем лиценцирања правних и физичких лица у области приватног обезбеђења. Овлашћење и обавезе службеника обезбеђења. Надзор и контрола над радом службеника обезбеђења и правних лица за пружање услуга приватног обезбеђења. Лиценцирање, обавезе и овлашћења правних и физичких лица који врше детективску делатност. Законски систем надзора и контроле детектива. Најважнији извори права у области </w:t>
            </w:r>
            <w:r w:rsidR="000B65EF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>заштите података – пословне тајне, тајних података и података о личности. Законско уређење слободног приступа информацијама од јавног значаја. Прописи у области смањења ризика од катастрофа и управљања ванредним ситуацијама</w:t>
            </w:r>
            <w:r w:rsidRPr="007454AB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 xml:space="preserve">. </w:t>
            </w:r>
            <w:r w:rsidR="000B65EF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>Лиценцирање у области процене ризика од катастрофа. Законско уређење осталих сегмената</w:t>
            </w:r>
            <w:r w:rsidRPr="007454AB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 xml:space="preserve"> корпоративне безбедности. Међународни и национални стандарди у области </w:t>
            </w:r>
            <w:r w:rsidR="000B65EF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>корпоративне</w:t>
            </w:r>
            <w:r w:rsidRPr="007454AB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 xml:space="preserve"> безбедности</w:t>
            </w:r>
            <w:r w:rsidRPr="007454AB">
              <w:rPr>
                <w:rFonts w:ascii="Times New Roman" w:hAnsi="Times New Roman"/>
                <w:i/>
                <w:iCs/>
                <w:sz w:val="20"/>
                <w:szCs w:val="20"/>
                <w:lang w:val="ru-RU"/>
              </w:rPr>
              <w:t>.</w:t>
            </w:r>
            <w:r w:rsidR="000B65EF">
              <w:rPr>
                <w:rFonts w:ascii="Times New Roman" w:hAnsi="Times New Roman"/>
                <w:i/>
                <w:iCs/>
                <w:sz w:val="20"/>
                <w:szCs w:val="20"/>
                <w:lang w:val="ru-RU"/>
              </w:rPr>
              <w:t xml:space="preserve"> </w:t>
            </w:r>
            <w:r w:rsidR="000B65EF" w:rsidRPr="000B65EF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 xml:space="preserve">Унутрашња правна регулатива и корпоративна безбедност. </w:t>
            </w:r>
            <w:r w:rsidR="00155C14">
              <w:rPr>
                <w:rFonts w:ascii="Times New Roman" w:hAnsi="Times New Roman"/>
                <w:iCs/>
                <w:sz w:val="20"/>
                <w:szCs w:val="20"/>
                <w:lang/>
              </w:rPr>
              <w:t xml:space="preserve">Посебно ће бити разматрани садржаји управљања ризицима у корпорацијама сходно ИСО 31000. </w:t>
            </w:r>
          </w:p>
          <w:p w:rsidR="000B65EF" w:rsidRDefault="00753014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Практична настава</w:t>
            </w:r>
          </w:p>
          <w:p w:rsidR="000B65EF" w:rsidRPr="000B65EF" w:rsidRDefault="000B65EF" w:rsidP="000B65EF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0B65EF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Студије случаја – анализа праксе судова и управних органа, разматрање безбедносних феномена са изразитом правном димензијом у домаћој и иностраној пракси.</w:t>
            </w:r>
          </w:p>
          <w:p w:rsidR="000B65EF" w:rsidRDefault="000B65EF" w:rsidP="000B65EF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0B65EF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Радионице – решавање практич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них задатака и израда сценарија, симулације случајева и процена павних 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lastRenderedPageBreak/>
              <w:t>ризика у корпорацијама.</w:t>
            </w:r>
          </w:p>
          <w:p w:rsidR="00753014" w:rsidRPr="00155C14" w:rsidRDefault="000B65EF" w:rsidP="00155C14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Семинари – дискусије и панели о стварним безбедносним проблемима у корпорацијама и могућностим коришћења правних механизама за редукцијуризика.</w:t>
            </w:r>
            <w:bookmarkStart w:id="0" w:name="_GoBack"/>
            <w:bookmarkEnd w:id="0"/>
          </w:p>
        </w:tc>
      </w:tr>
      <w:tr w:rsidR="00753014" w:rsidRPr="00092214" w:rsidTr="00ED2B2E">
        <w:trPr>
          <w:trHeight w:val="227"/>
          <w:jc w:val="center"/>
        </w:trPr>
        <w:tc>
          <w:tcPr>
            <w:tcW w:w="9287" w:type="dxa"/>
            <w:gridSpan w:val="5"/>
            <w:vAlign w:val="center"/>
          </w:tcPr>
          <w:p w:rsidR="005011B9" w:rsidRDefault="00753014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lastRenderedPageBreak/>
              <w:t>Литература</w:t>
            </w:r>
          </w:p>
          <w:p w:rsidR="007454AB" w:rsidRPr="007454AB" w:rsidRDefault="007454AB" w:rsidP="007454A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7454A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Обавезна</w:t>
            </w:r>
          </w:p>
          <w:p w:rsidR="007454AB" w:rsidRDefault="007454AB" w:rsidP="007454A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7454A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Мандић, Г., Путник, Н., Милошевић, М. (2017). Заштита података и социјални инжењеринг - правни, организациони и безбедносни аспекти. Београд: Универзитет у 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Београду-Факултет безбедности. </w:t>
            </w:r>
          </w:p>
          <w:p w:rsidR="007454AB" w:rsidRPr="007454AB" w:rsidRDefault="007454AB" w:rsidP="007454A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7454A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Кековић, З., Димитријевић, И. и Шекарић, Н. (прир.) (2018). Корпоративна безбедност – хрестоматија. Београд: Факултет безбедности.</w:t>
            </w:r>
          </w:p>
          <w:p w:rsidR="00753014" w:rsidRDefault="007454AB" w:rsidP="007454A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7454A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Лабовић Д. (2016). Приватна безбедност – правна и социјална димензија. Београд: Иновациони центар Факултета безбедности Универзитета у Београду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</w:t>
            </w:r>
          </w:p>
          <w:p w:rsidR="007454AB" w:rsidRDefault="007454AB" w:rsidP="007454A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7454A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Драгишић З. (2011). Систем националне безбедности Републике Србије.</w:t>
            </w:r>
          </w:p>
          <w:p w:rsidR="007454AB" w:rsidRDefault="007454AB" w:rsidP="007454A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7454A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Милошевић, М., Младеновић, М. Управљање правним ризицима као елемент корпоративне безбедносне политике. Српска политичка мисао, број 3/2017, год. 24., вол. 57., стр. 289-304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</w:t>
            </w:r>
          </w:p>
          <w:p w:rsidR="007454AB" w:rsidRDefault="007454AB" w:rsidP="007454A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</w:p>
          <w:p w:rsidR="007454AB" w:rsidRPr="007454AB" w:rsidRDefault="007454AB" w:rsidP="007454A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7454A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Допунска</w:t>
            </w:r>
          </w:p>
          <w:p w:rsidR="007454AB" w:rsidRDefault="007454AB" w:rsidP="007454A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</w:p>
          <w:p w:rsidR="007454AB" w:rsidRDefault="007454AB" w:rsidP="007454A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7454A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Стајић Љ., Лукић Т. (2011). Право приватне безбедности. Правни факултет Универзитета у Новом Саду</w:t>
            </w:r>
          </w:p>
          <w:p w:rsidR="007454AB" w:rsidRDefault="007454AB" w:rsidP="007454A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7454A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Mandić, G.,  Putnik, N. &amp; Milošević, M. (2017). Contemporary Deception Techniques: Social Engineering – Semantic, Phenomenological and Security Aspects. In: Bošković, M. (Ed.), Security Risks: Assessment, Management and Current Challenges (pp.111-127). New York:  Nova Science Publisher, Inc</w:t>
            </w:r>
          </w:p>
          <w:p w:rsidR="007454AB" w:rsidRDefault="007454AB" w:rsidP="007454A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7454A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Mandić G.,  Džigurski O., Milošević, M. (2013). Critical infrastructure security Аnd social networks and social engineering,  Accordance of education programs with the need of critical infrastructure protection. In: National Critical Infrastructure Protection – Regional Perspective, Belgrade: Faculty of Security Studies, Belgrade and Institute for Corporative Security Studies, Ljubljana,  pp. 65-77</w:t>
            </w:r>
          </w:p>
          <w:p w:rsidR="007454AB" w:rsidRDefault="007454AB" w:rsidP="007454A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7454A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Милошевић, М., Симовић, И. и Бановић, Б. (2016). Редефинисање правног оквира за унапређење безбедности образовноваспитних установа. У: Поповић Ћитић, Б., Липовац, М. (уредници), Безбедност у образовно-васпитним установама: основна начела, принципи, протоколи, процедуре и средства (стр. 53-73). Београд: Факултет безбедности</w:t>
            </w:r>
          </w:p>
          <w:p w:rsidR="00753014" w:rsidRPr="00092214" w:rsidRDefault="007454AB" w:rsidP="00ED2B2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7454A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Милошевић, М. (2015). Criminal Policy on Corporate Criminal Liability – Different Theoretical Approaches. Безбедност, 2/2015, стр. 21-34.</w:t>
            </w:r>
          </w:p>
        </w:tc>
      </w:tr>
      <w:tr w:rsidR="00753014" w:rsidRPr="00092214" w:rsidTr="00ED2B2E">
        <w:trPr>
          <w:trHeight w:val="227"/>
          <w:jc w:val="center"/>
        </w:trPr>
        <w:tc>
          <w:tcPr>
            <w:tcW w:w="3049" w:type="dxa"/>
            <w:vAlign w:val="center"/>
          </w:tcPr>
          <w:p w:rsidR="00753014" w:rsidRPr="00092214" w:rsidRDefault="00753014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</w:p>
        </w:tc>
        <w:tc>
          <w:tcPr>
            <w:tcW w:w="3041" w:type="dxa"/>
            <w:gridSpan w:val="2"/>
            <w:vAlign w:val="center"/>
          </w:tcPr>
          <w:p w:rsidR="00753014" w:rsidRPr="00092214" w:rsidRDefault="00753014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</w:p>
        </w:tc>
        <w:tc>
          <w:tcPr>
            <w:tcW w:w="3197" w:type="dxa"/>
            <w:gridSpan w:val="2"/>
            <w:vAlign w:val="center"/>
          </w:tcPr>
          <w:p w:rsidR="00753014" w:rsidRPr="00092214" w:rsidRDefault="00753014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</w:p>
        </w:tc>
      </w:tr>
      <w:tr w:rsidR="00753014" w:rsidRPr="00ED2B2E" w:rsidTr="00ED2B2E">
        <w:trPr>
          <w:trHeight w:val="227"/>
          <w:jc w:val="center"/>
        </w:trPr>
        <w:tc>
          <w:tcPr>
            <w:tcW w:w="9287" w:type="dxa"/>
            <w:gridSpan w:val="5"/>
            <w:vAlign w:val="center"/>
          </w:tcPr>
          <w:p w:rsidR="00753014" w:rsidRPr="00092214" w:rsidRDefault="00753014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:rsidR="00753014" w:rsidRPr="00092214" w:rsidRDefault="00D1722F" w:rsidP="00940EE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Предавања, вежбе, </w:t>
            </w:r>
            <w:r w:rsidR="0019509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колоквијум,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радионице и семинари.</w:t>
            </w:r>
          </w:p>
        </w:tc>
      </w:tr>
      <w:tr w:rsidR="00753014" w:rsidRPr="00ED2B2E" w:rsidTr="00ED2B2E">
        <w:trPr>
          <w:trHeight w:val="227"/>
          <w:jc w:val="center"/>
        </w:trPr>
        <w:tc>
          <w:tcPr>
            <w:tcW w:w="9287" w:type="dxa"/>
            <w:gridSpan w:val="5"/>
            <w:vAlign w:val="center"/>
          </w:tcPr>
          <w:p w:rsidR="00753014" w:rsidRPr="00092214" w:rsidRDefault="00753014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  знања (максимални број поена 100)</w:t>
            </w:r>
          </w:p>
        </w:tc>
      </w:tr>
      <w:tr w:rsidR="00753014" w:rsidRPr="00092214" w:rsidTr="00ED2B2E">
        <w:trPr>
          <w:trHeight w:val="227"/>
          <w:jc w:val="center"/>
        </w:trPr>
        <w:tc>
          <w:tcPr>
            <w:tcW w:w="3049" w:type="dxa"/>
            <w:vAlign w:val="center"/>
          </w:tcPr>
          <w:p w:rsidR="00753014" w:rsidRPr="00092214" w:rsidRDefault="00753014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10" w:type="dxa"/>
            <w:vAlign w:val="center"/>
          </w:tcPr>
          <w:p w:rsidR="00753014" w:rsidRPr="00092214" w:rsidRDefault="00753014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  <w:p w:rsidR="00753014" w:rsidRPr="00092214" w:rsidRDefault="00753014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03" w:type="dxa"/>
            <w:gridSpan w:val="2"/>
            <w:shd w:val="clear" w:color="auto" w:fill="auto"/>
            <w:vAlign w:val="center"/>
          </w:tcPr>
          <w:p w:rsidR="00753014" w:rsidRPr="00092214" w:rsidRDefault="00753014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25" w:type="dxa"/>
            <w:shd w:val="clear" w:color="auto" w:fill="auto"/>
            <w:vAlign w:val="center"/>
          </w:tcPr>
          <w:p w:rsidR="00753014" w:rsidRPr="00092214" w:rsidRDefault="00753014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753014" w:rsidRPr="00092214" w:rsidTr="00ED2B2E">
        <w:trPr>
          <w:trHeight w:val="227"/>
          <w:jc w:val="center"/>
        </w:trPr>
        <w:tc>
          <w:tcPr>
            <w:tcW w:w="3049" w:type="dxa"/>
            <w:vAlign w:val="center"/>
          </w:tcPr>
          <w:p w:rsidR="00753014" w:rsidRPr="00092214" w:rsidRDefault="00753014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10" w:type="dxa"/>
            <w:vAlign w:val="center"/>
          </w:tcPr>
          <w:p w:rsidR="00753014" w:rsidRPr="00092214" w:rsidRDefault="00D1722F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103" w:type="dxa"/>
            <w:gridSpan w:val="2"/>
            <w:shd w:val="clear" w:color="auto" w:fill="auto"/>
            <w:vAlign w:val="center"/>
          </w:tcPr>
          <w:p w:rsidR="00753014" w:rsidRPr="00092214" w:rsidRDefault="00753014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25" w:type="dxa"/>
            <w:shd w:val="clear" w:color="auto" w:fill="auto"/>
            <w:vAlign w:val="center"/>
          </w:tcPr>
          <w:p w:rsidR="00753014" w:rsidRPr="00092214" w:rsidRDefault="005011B9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30</w:t>
            </w:r>
          </w:p>
        </w:tc>
      </w:tr>
      <w:tr w:rsidR="00753014" w:rsidRPr="00092214" w:rsidTr="00ED2B2E">
        <w:trPr>
          <w:trHeight w:val="227"/>
          <w:jc w:val="center"/>
        </w:trPr>
        <w:tc>
          <w:tcPr>
            <w:tcW w:w="3049" w:type="dxa"/>
            <w:vAlign w:val="center"/>
          </w:tcPr>
          <w:p w:rsidR="00753014" w:rsidRPr="00092214" w:rsidRDefault="00753014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10" w:type="dxa"/>
            <w:vAlign w:val="center"/>
          </w:tcPr>
          <w:p w:rsidR="00753014" w:rsidRPr="00092214" w:rsidRDefault="00753014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03" w:type="dxa"/>
            <w:gridSpan w:val="2"/>
            <w:shd w:val="clear" w:color="auto" w:fill="auto"/>
            <w:vAlign w:val="center"/>
          </w:tcPr>
          <w:p w:rsidR="00753014" w:rsidRPr="00092214" w:rsidRDefault="00753014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испт</w:t>
            </w:r>
          </w:p>
        </w:tc>
        <w:tc>
          <w:tcPr>
            <w:tcW w:w="1225" w:type="dxa"/>
            <w:shd w:val="clear" w:color="auto" w:fill="auto"/>
            <w:vAlign w:val="center"/>
          </w:tcPr>
          <w:p w:rsidR="00753014" w:rsidRPr="00092214" w:rsidRDefault="00753014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753014" w:rsidRPr="00092214" w:rsidTr="00ED2B2E">
        <w:trPr>
          <w:trHeight w:val="227"/>
          <w:jc w:val="center"/>
        </w:trPr>
        <w:tc>
          <w:tcPr>
            <w:tcW w:w="3049" w:type="dxa"/>
            <w:vAlign w:val="center"/>
          </w:tcPr>
          <w:p w:rsidR="00753014" w:rsidRPr="00092214" w:rsidRDefault="00753014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10" w:type="dxa"/>
            <w:vAlign w:val="center"/>
          </w:tcPr>
          <w:p w:rsidR="00753014" w:rsidRPr="00092214" w:rsidRDefault="005011B9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40</w:t>
            </w:r>
          </w:p>
        </w:tc>
        <w:tc>
          <w:tcPr>
            <w:tcW w:w="3103" w:type="dxa"/>
            <w:gridSpan w:val="2"/>
            <w:shd w:val="clear" w:color="auto" w:fill="auto"/>
            <w:vAlign w:val="center"/>
          </w:tcPr>
          <w:p w:rsidR="00753014" w:rsidRPr="00092214" w:rsidRDefault="00753014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..........</w:t>
            </w:r>
          </w:p>
        </w:tc>
        <w:tc>
          <w:tcPr>
            <w:tcW w:w="1225" w:type="dxa"/>
            <w:shd w:val="clear" w:color="auto" w:fill="auto"/>
            <w:vAlign w:val="center"/>
          </w:tcPr>
          <w:p w:rsidR="00753014" w:rsidRPr="00092214" w:rsidRDefault="00753014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753014" w:rsidRPr="00092214" w:rsidTr="00ED2B2E">
        <w:trPr>
          <w:trHeight w:val="227"/>
          <w:jc w:val="center"/>
        </w:trPr>
        <w:tc>
          <w:tcPr>
            <w:tcW w:w="3049" w:type="dxa"/>
            <w:vAlign w:val="center"/>
          </w:tcPr>
          <w:p w:rsidR="00753014" w:rsidRPr="00092214" w:rsidRDefault="00753014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10" w:type="dxa"/>
            <w:vAlign w:val="center"/>
          </w:tcPr>
          <w:p w:rsidR="00753014" w:rsidRPr="00092214" w:rsidRDefault="005011B9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20</w:t>
            </w:r>
          </w:p>
        </w:tc>
        <w:tc>
          <w:tcPr>
            <w:tcW w:w="3103" w:type="dxa"/>
            <w:gridSpan w:val="2"/>
            <w:shd w:val="clear" w:color="auto" w:fill="auto"/>
            <w:vAlign w:val="center"/>
          </w:tcPr>
          <w:p w:rsidR="00753014" w:rsidRPr="00092214" w:rsidRDefault="00753014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5" w:type="dxa"/>
            <w:shd w:val="clear" w:color="auto" w:fill="auto"/>
            <w:vAlign w:val="center"/>
          </w:tcPr>
          <w:p w:rsidR="00753014" w:rsidRPr="00092214" w:rsidRDefault="00753014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753014" w:rsidRPr="00ED2B2E" w:rsidTr="00ED2B2E">
        <w:trPr>
          <w:trHeight w:val="227"/>
          <w:jc w:val="center"/>
        </w:trPr>
        <w:tc>
          <w:tcPr>
            <w:tcW w:w="9287" w:type="dxa"/>
            <w:gridSpan w:val="5"/>
            <w:vAlign w:val="center"/>
          </w:tcPr>
          <w:p w:rsidR="00753014" w:rsidRPr="00092214" w:rsidRDefault="00753014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Начин провере знања могу бити различити наведено  у табели су само неке опције: (писмени испити, усмени испт, презентација пројекта, семинари итд......</w:t>
            </w:r>
          </w:p>
        </w:tc>
      </w:tr>
    </w:tbl>
    <w:p w:rsidR="00753014" w:rsidRPr="00FD0A58" w:rsidRDefault="00753014" w:rsidP="00A756DE">
      <w:pPr>
        <w:rPr>
          <w:rFonts w:ascii="Times New Roman" w:hAnsi="Times New Roman"/>
          <w:bCs/>
          <w:lang w:val="ru-RU"/>
        </w:rPr>
      </w:pPr>
    </w:p>
    <w:sectPr w:rsidR="00753014" w:rsidRPr="00FD0A58" w:rsidSect="00A619FD">
      <w:pgSz w:w="11907" w:h="16840" w:code="9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0B2575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attachedTemplate r:id="rId1"/>
  <w:defaultTabStop w:val="720"/>
  <w:characterSpacingControl w:val="doNotCompress"/>
  <w:compat>
    <w:useFELayout/>
  </w:compat>
  <w:rsids>
    <w:rsidRoot w:val="00753014"/>
    <w:rsid w:val="00004ADB"/>
    <w:rsid w:val="00013FDF"/>
    <w:rsid w:val="000B65EF"/>
    <w:rsid w:val="000C79EF"/>
    <w:rsid w:val="00105ABD"/>
    <w:rsid w:val="00155C14"/>
    <w:rsid w:val="00195094"/>
    <w:rsid w:val="002469A9"/>
    <w:rsid w:val="005011B9"/>
    <w:rsid w:val="005F4F7C"/>
    <w:rsid w:val="00605755"/>
    <w:rsid w:val="006957A3"/>
    <w:rsid w:val="007454AB"/>
    <w:rsid w:val="00753014"/>
    <w:rsid w:val="00940EEF"/>
    <w:rsid w:val="00A3388E"/>
    <w:rsid w:val="00A619FD"/>
    <w:rsid w:val="00A756DE"/>
    <w:rsid w:val="00B016B2"/>
    <w:rsid w:val="00BE154C"/>
    <w:rsid w:val="00D1722F"/>
    <w:rsid w:val="00DE063A"/>
    <w:rsid w:val="00DE0D2D"/>
    <w:rsid w:val="00ED2B2E"/>
    <w:rsid w:val="00EE606A"/>
    <w:rsid w:val="00FD0A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301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esna\AppData\Roaming\Microsoft\Templates\A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A4</Template>
  <TotalTime>1</TotalTime>
  <Pages>2</Pages>
  <Words>1041</Words>
  <Characters>5935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Vesna Aleksic</dc:creator>
  <cp:lastModifiedBy>Vesna Aleksic</cp:lastModifiedBy>
  <cp:revision>5</cp:revision>
  <dcterms:created xsi:type="dcterms:W3CDTF">2019-05-06T07:49:00Z</dcterms:created>
  <dcterms:modified xsi:type="dcterms:W3CDTF">2019-05-06T07:50:00Z</dcterms:modified>
</cp:coreProperties>
</file>